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uppressAutoHyphens w:val="true"/>
        <w:spacing w:after="280" w:before="0" w:line="360" w:lineRule="atLeast"/>
        <w:contextualSpacing w:val="false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Список дружины юны</w:t>
      </w:r>
      <w:r>
        <w:rPr>
          <w:b/>
          <w:bCs/>
          <w:color w:val="000000"/>
          <w:sz w:val="32"/>
          <w:szCs w:val="32"/>
        </w:rPr>
        <w:t>х</w:t>
      </w:r>
      <w:r>
        <w:rPr>
          <w:b/>
          <w:bCs/>
          <w:color w:val="000000"/>
          <w:sz w:val="32"/>
          <w:szCs w:val="32"/>
        </w:rPr>
        <w:t xml:space="preserve"> пожарны</w:t>
      </w:r>
      <w:r>
        <w:rPr>
          <w:b/>
          <w:bCs/>
          <w:color w:val="000000"/>
          <w:sz w:val="32"/>
          <w:szCs w:val="32"/>
        </w:rPr>
        <w:t>х</w:t>
      </w:r>
      <w:r>
        <w:rPr>
          <w:b/>
          <w:bCs/>
          <w:color w:val="000000"/>
          <w:sz w:val="32"/>
          <w:szCs w:val="32"/>
        </w:rPr>
        <w:t xml:space="preserve"> « Искра»</w:t>
      </w:r>
    </w:p>
    <w:tbl>
      <w:tblPr>
        <w:jc w:val="left"/>
        <w:tblInd w:type="dxa" w:w="82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39"/>
        <w:gridCol w:w="5940"/>
        <w:gridCol w:w="2351"/>
      </w:tblGrid>
      <w:tr>
        <w:trPr>
          <w:cantSplit w:val="false"/>
        </w:trPr>
        <w:tc>
          <w:tcPr>
            <w:tcW w:type="dxa" w:w="5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№</w:t>
            </w:r>
          </w:p>
        </w:tc>
        <w:tc>
          <w:tcPr>
            <w:tcW w:type="dxa" w:w="59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Ф.И.</w:t>
            </w:r>
          </w:p>
        </w:tc>
        <w:tc>
          <w:tcPr>
            <w:tcW w:type="dxa" w:w="23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класс</w:t>
            </w:r>
          </w:p>
        </w:tc>
      </w:tr>
      <w:tr>
        <w:trPr>
          <w:cantSplit w:val="false"/>
        </w:trPr>
        <w:tc>
          <w:tcPr>
            <w:tcW w:type="dxa" w:w="5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type="dxa" w:w="59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Белоногов Олег</w:t>
            </w:r>
          </w:p>
        </w:tc>
        <w:tc>
          <w:tcPr>
            <w:tcW w:type="dxa" w:w="23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>
        <w:trPr>
          <w:cantSplit w:val="false"/>
        </w:trPr>
        <w:tc>
          <w:tcPr>
            <w:tcW w:type="dxa" w:w="5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type="dxa" w:w="59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Дубровский Назар</w:t>
            </w:r>
          </w:p>
        </w:tc>
        <w:tc>
          <w:tcPr>
            <w:tcW w:type="dxa" w:w="23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>
        <w:trPr>
          <w:cantSplit w:val="false"/>
        </w:trPr>
        <w:tc>
          <w:tcPr>
            <w:tcW w:type="dxa" w:w="5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type="dxa" w:w="59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Кадочникова София</w:t>
            </w:r>
          </w:p>
        </w:tc>
        <w:tc>
          <w:tcPr>
            <w:tcW w:type="dxa" w:w="23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>
        <w:trPr>
          <w:cantSplit w:val="false"/>
        </w:trPr>
        <w:tc>
          <w:tcPr>
            <w:tcW w:type="dxa" w:w="5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type="dxa" w:w="59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Корнеев София</w:t>
            </w:r>
          </w:p>
        </w:tc>
        <w:tc>
          <w:tcPr>
            <w:tcW w:type="dxa" w:w="23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>
        <w:trPr>
          <w:cantSplit w:val="false"/>
        </w:trPr>
        <w:tc>
          <w:tcPr>
            <w:tcW w:type="dxa" w:w="5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type="dxa" w:w="59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Овчинникова Нина</w:t>
            </w:r>
          </w:p>
        </w:tc>
        <w:tc>
          <w:tcPr>
            <w:tcW w:type="dxa" w:w="23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>
        <w:trPr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type="dxa" w:w="59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Селицкий Владимир</w:t>
            </w:r>
          </w:p>
        </w:tc>
        <w:tc>
          <w:tcPr>
            <w:tcW w:type="dxa" w:w="235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>
        <w:trPr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type="dxa" w:w="59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Чазова Наталия</w:t>
            </w:r>
          </w:p>
        </w:tc>
        <w:tc>
          <w:tcPr>
            <w:tcW w:type="dxa" w:w="235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6А</w:t>
            </w:r>
          </w:p>
        </w:tc>
      </w:tr>
      <w:tr>
        <w:trPr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type="dxa" w:w="59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Бревнов Илья</w:t>
            </w:r>
          </w:p>
        </w:tc>
        <w:tc>
          <w:tcPr>
            <w:tcW w:type="dxa" w:w="235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6Б</w:t>
            </w:r>
          </w:p>
        </w:tc>
      </w:tr>
      <w:tr>
        <w:trPr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type="dxa" w:w="59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Клюг Данил</w:t>
            </w:r>
          </w:p>
        </w:tc>
        <w:tc>
          <w:tcPr>
            <w:tcW w:type="dxa" w:w="235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6Б</w:t>
            </w:r>
          </w:p>
        </w:tc>
      </w:tr>
      <w:tr>
        <w:trPr>
          <w:cantSplit w:val="false"/>
        </w:trPr>
        <w:tc>
          <w:tcPr>
            <w:tcW w:type="dxa" w:w="53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type="dxa" w:w="594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rPr>
                <w:color w:val="555555"/>
              </w:rPr>
            </w:pPr>
            <w:r>
              <w:rPr>
                <w:color w:val="555555"/>
              </w:rPr>
              <w:t>Чернецов Никита</w:t>
            </w:r>
          </w:p>
        </w:tc>
        <w:tc>
          <w:tcPr>
            <w:tcW w:type="dxa" w:w="235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150" w:before="0" w:line="360" w:lineRule="atLeast"/>
              <w:contextualSpacing w:val="false"/>
              <w:jc w:val="center"/>
              <w:rPr>
                <w:color w:val="555555"/>
              </w:rPr>
            </w:pPr>
            <w:r>
              <w:rPr>
                <w:color w:val="555555"/>
              </w:rPr>
              <w:t>6Б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</w:p>
    <w:p>
      <w:pPr>
        <w:pStyle w:val="style0"/>
        <w:rPr/>
      </w:pPr>
      <w:r>
        <w:rPr/>
        <w:t xml:space="preserve">                    </w:t>
      </w:r>
      <w:bookmarkStart w:id="0" w:name="_GoBack"/>
      <w:bookmarkEnd w:id="0"/>
      <w:r>
        <w:rPr/>
        <w:t>Понедельник,      четверг       12,45 – 13,30.      Каб.  214</w:t>
      </w:r>
    </w:p>
    <w:p>
      <w:pPr>
        <w:pStyle w:val="style0"/>
        <w:rPr/>
      </w:pPr>
      <w:r>
        <w:rPr/>
      </w:r>
    </w:p>
    <w:p>
      <w:pPr>
        <w:pStyle w:val="style0"/>
        <w:jc w:val="right"/>
        <w:rPr/>
      </w:pPr>
      <w:r>
        <w:rPr/>
        <w:t xml:space="preserve">             </w:t>
      </w:r>
      <w:r>
        <w:rPr/>
        <w:t xml:space="preserve">Руководитель  ДЮП                                               Л.А. Комаренко                                    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uppressAutoHyphens w:val="true"/>
      <w:spacing w:after="15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2014-04-10T01:10:00Z</dcterms:created>
  <dc:creator>Ольга Викторовна</dc:creator>
  <cp:lastModifiedBy>Ольга Викторовна</cp:lastModifiedBy>
  <cp:lastPrinted>2014-04-10T02:06:00Z</cp:lastPrinted>
  <dcterms:modified xsi:type="dcterms:W3CDTF">2015-12-02T08:28:00Z</dcterms:modified>
  <cp:revision>14</cp:revision>
</cp:coreProperties>
</file>