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</w:rPr>
      </w:pPr>
      <w:r>
        <w:rPr>
          <w:rFonts w:ascii="Times New Roman" w:cs="Times New Roman" w:eastAsia="Times New Roman" w:hAnsi="Times New Roman"/>
          <w:b/>
          <w:bCs/>
          <w:color w:val="222222"/>
          <w:sz w:val="32"/>
          <w:szCs w:val="32"/>
        </w:rPr>
        <w:t>Классификация информации, не имеющей отношения к образовательному процессу</w:t>
      </w:r>
    </w:p>
    <w:p>
      <w:pPr>
        <w:pStyle w:val="style0"/>
        <w:shd w:fill="FFFFFF" w:val="clear"/>
        <w:spacing w:after="0" w:before="0" w:line="360" w:lineRule="atLeast"/>
        <w:contextualSpacing w:val="false"/>
        <w:textAlignment w:val="baseline"/>
        <w:rPr>
          <w:rFonts w:ascii="inherit" w:cs="Times New Roman" w:eastAsia="Times New Roman" w:hAnsi="inherit"/>
          <w:b/>
          <w:bCs/>
          <w:color w:val="222222"/>
          <w:sz w:val="21"/>
        </w:rPr>
      </w:pPr>
      <w:r>
        <w:rPr>
          <w:rFonts w:ascii="inherit" w:cs="Times New Roman" w:eastAsia="Times New Roman" w:hAnsi="inherit"/>
          <w:b/>
          <w:bCs/>
          <w:color w:val="222222"/>
          <w:sz w:val="21"/>
        </w:rPr>
        <w:t>Система классификации информации, не имеющей отношения к образовательному процессу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360" w:left="360" w:right="0"/>
        <w:contextualSpacing w:val="false"/>
        <w:jc w:val="both"/>
        <w:textAlignment w:val="baseline"/>
        <w:rPr>
          <w:rFonts w:ascii="inherit" w:cs="Times New Roman" w:eastAsia="Times New Roman" w:hAnsi="inherit"/>
          <w:color w:val="222222"/>
          <w:sz w:val="21"/>
          <w:szCs w:val="21"/>
        </w:rPr>
      </w:pPr>
      <w:r>
        <w:rPr>
          <w:rFonts w:ascii="inherit" w:cs="Times New Roman" w:eastAsia="Times New Roman" w:hAnsi="inherit"/>
          <w:color w:val="222222"/>
          <w:sz w:val="21"/>
          <w:szCs w:val="21"/>
        </w:rPr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360" w:left="360" w:right="0"/>
        <w:contextualSpacing w:val="false"/>
        <w:jc w:val="both"/>
        <w:textAlignment w:val="baseline"/>
        <w:rPr>
          <w:rFonts w:ascii="inherit" w:cs="Times New Roman" w:eastAsia="Times New Roman" w:hAnsi="inherit"/>
          <w:color w:val="222222"/>
          <w:sz w:val="21"/>
          <w:szCs w:val="21"/>
        </w:rPr>
      </w:pPr>
      <w:r>
        <w:rPr>
          <w:rFonts w:ascii="inherit" w:cs="Times New Roman" w:eastAsia="Times New Roman" w:hAnsi="inherit"/>
          <w:color w:val="222222"/>
          <w:sz w:val="21"/>
          <w:szCs w:val="21"/>
        </w:rPr>
        <w:t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360" w:left="360" w:right="0"/>
        <w:contextualSpacing w:val="false"/>
        <w:jc w:val="both"/>
        <w:textAlignment w:val="baseline"/>
        <w:rPr>
          <w:rFonts w:ascii="inherit" w:cs="Times New Roman" w:eastAsia="Times New Roman" w:hAnsi="inherit"/>
          <w:color w:val="222222"/>
          <w:sz w:val="21"/>
          <w:szCs w:val="21"/>
        </w:rPr>
      </w:pPr>
      <w:r>
        <w:rPr>
          <w:rFonts w:ascii="inherit" w:cs="Times New Roman" w:eastAsia="Times New Roman" w:hAnsi="inherit"/>
          <w:color w:val="222222"/>
          <w:sz w:val="21"/>
          <w:szCs w:val="21"/>
        </w:rPr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>
      <w:pPr>
        <w:pStyle w:val="style0"/>
        <w:shd w:fill="FFFFFF" w:val="clear"/>
        <w:spacing w:after="218" w:before="73" w:line="360" w:lineRule="atLeast"/>
        <w:contextualSpacing w:val="false"/>
        <w:jc w:val="both"/>
        <w:textAlignment w:val="baseline"/>
        <w:rPr>
          <w:rFonts w:ascii="inherit" w:cs="Times New Roman" w:eastAsia="Times New Roman" w:hAnsi="inherit"/>
          <w:color w:val="222222"/>
          <w:sz w:val="21"/>
          <w:szCs w:val="21"/>
        </w:rPr>
      </w:pPr>
      <w:r>
        <w:rPr>
          <w:rFonts w:ascii="inherit" w:cs="Times New Roman" w:eastAsia="Times New Roman" w:hAnsi="inherit"/>
          <w:color w:val="222222"/>
          <w:sz w:val="21"/>
          <w:szCs w:val="21"/>
        </w:rPr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tbl>
      <w:tblPr>
        <w:jc w:val="left"/>
        <w:tblInd w:type="dxa" w:w="211"/>
        <w:tblBorders>
          <w:top w:color="DDDDDD" w:space="0" w:sz="6" w:val="single"/>
          <w:left w:val="nil"/>
          <w:bottom w:val="nil"/>
          <w:insideH w:val="nil"/>
          <w:right w:val="nil"/>
          <w:insideV w:val="nil"/>
        </w:tblBorders>
        <w:tblCellMar>
          <w:top w:type="dxa" w:w="73"/>
          <w:left w:type="dxa" w:w="218"/>
          <w:bottom w:type="dxa" w:w="73"/>
          <w:right w:type="dxa" w:w="218"/>
        </w:tblCellMar>
      </w:tblPr>
      <w:tblGrid>
        <w:gridCol w:w="947"/>
        <w:gridCol w:w="2210"/>
        <w:gridCol w:w="5847"/>
      </w:tblGrid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b/>
                <w:bCs/>
                <w:sz w:val="21"/>
              </w:rPr>
            </w:pP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№</w:t>
            </w: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п/п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b/>
                <w:bCs/>
                <w:sz w:val="21"/>
              </w:rPr>
            </w:pP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Тематическая категория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b/>
                <w:bCs/>
                <w:sz w:val="21"/>
              </w:rPr>
            </w:pP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Содержание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 xml:space="preserve">— 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Информация, направленная на пропаганду войны, разжигание национальной, расовой или религиозной ненависти и вражды;— 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Злоупотребление свободой СМИ — экстремизм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3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Злоупотребление свободой СМИ — наркотические средства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Сведения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пропаганда каких-либо преимуществ использования отдельных наркотических средств, психотропных веществ, их аналогов и прекурсоров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4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Сведения о специальных средствах, технических приемах и тактике проведения контртеррористических операций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5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Злоупотребление свободой СМИ — скрытое воздействие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6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Экстремистские материалы или экстремистская деятельность (экстремизм)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осуществление террористической деятельности либо публичное оправдание терроризма;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унижение национального достоинства;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 xml:space="preserve">— 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7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Вредоносные программы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8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Преступления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Клевета (распространение заведомо ложных сведений, порочащих честь и достоинство другого лица или подрывающих его репутацию);— оскорбление (унижение чести и достоинства другого лица, выраженное в неприличной форме);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склонение к потреблению наркотических средств и психотропных веществ;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незаконное распространение или рекламирование порнографических материалов;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публичные призывы к осуществлению экстремистской деятельности;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>
            <w:pPr>
              <w:pStyle w:val="style0"/>
              <w:spacing w:after="218" w:before="73" w:line="100" w:lineRule="atLeast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— </w:t>
            </w:r>
            <w:r>
              <w:rPr>
                <w:rFonts w:ascii="inherit" w:cs="Times New Roman" w:eastAsia="Times New Roman" w:hAnsi="inherit"/>
                <w:sz w:val="21"/>
                <w:szCs w:val="21"/>
              </w:rPr>
              <w:t>публичные призывы к развязыванию агрессивной войны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9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Ненадлежащая реклама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Информация, содержащая рекламу алкогольной продукции и табачных изделий</w:t>
            </w:r>
          </w:p>
        </w:tc>
      </w:tr>
      <w:tr>
        <w:trPr>
          <w:cantSplit w:val="false"/>
        </w:trPr>
        <w:tc>
          <w:tcPr>
            <w:tcW w:type="dxa" w:w="9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10</w:t>
            </w:r>
          </w:p>
        </w:tc>
        <w:tc>
          <w:tcPr>
            <w:tcW w:type="dxa" w:w="2210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 с ограниченным доступом</w:t>
            </w:r>
          </w:p>
        </w:tc>
        <w:tc>
          <w:tcPr>
            <w:tcW w:type="dxa" w:w="584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>
      <w:pPr>
        <w:pStyle w:val="style0"/>
        <w:shd w:fill="FFFFFF" w:val="clear"/>
        <w:spacing w:after="218" w:before="73" w:line="360" w:lineRule="atLeast"/>
        <w:contextualSpacing w:val="false"/>
        <w:jc w:val="both"/>
        <w:textAlignment w:val="baseline"/>
        <w:rPr>
          <w:rFonts w:ascii="inherit" w:cs="Times New Roman" w:eastAsia="Times New Roman" w:hAnsi="inherit"/>
          <w:color w:val="222222"/>
          <w:sz w:val="21"/>
          <w:szCs w:val="21"/>
        </w:rPr>
      </w:pPr>
      <w:r>
        <w:rPr>
          <w:rFonts w:ascii="inherit" w:cs="Times New Roman" w:eastAsia="Times New Roman" w:hAnsi="inherit"/>
          <w:color w:val="222222"/>
          <w:sz w:val="21"/>
          <w:szCs w:val="21"/>
        </w:rPr>
        <w:t>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социокультурных особенностей республики и иных обстоятельств.</w:t>
      </w:r>
    </w:p>
    <w:tbl>
      <w:tblPr>
        <w:jc w:val="left"/>
        <w:tblInd w:type="dxa" w:w="211"/>
        <w:tblBorders>
          <w:top w:color="DDDDDD" w:space="0" w:sz="6" w:val="single"/>
          <w:left w:val="nil"/>
          <w:bottom w:val="nil"/>
          <w:insideH w:val="nil"/>
          <w:right w:val="nil"/>
          <w:insideV w:val="nil"/>
        </w:tblBorders>
        <w:tblCellMar>
          <w:top w:type="dxa" w:w="73"/>
          <w:left w:type="dxa" w:w="218"/>
          <w:bottom w:type="dxa" w:w="73"/>
          <w:right w:type="dxa" w:w="218"/>
        </w:tblCellMar>
      </w:tblPr>
      <w:tblGrid>
        <w:gridCol w:w="768"/>
        <w:gridCol w:w="2759"/>
        <w:gridCol w:w="5477"/>
      </w:tblGrid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b/>
                <w:bCs/>
                <w:sz w:val="21"/>
              </w:rPr>
            </w:pP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№</w:t>
            </w: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п / п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b/>
                <w:bCs/>
                <w:sz w:val="21"/>
              </w:rPr>
            </w:pP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Тематическая категория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b/>
                <w:bCs/>
                <w:sz w:val="21"/>
              </w:rPr>
            </w:pPr>
            <w:r>
              <w:rPr>
                <w:rFonts w:ascii="inherit" w:cs="Times New Roman" w:eastAsia="Times New Roman" w:hAnsi="inherit"/>
                <w:b/>
                <w:bCs/>
                <w:sz w:val="21"/>
              </w:rPr>
              <w:t>Содержание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Алкоголь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Баннеры и рекламные программы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Баннерные сети, всплывающая реклама, рекламные программы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3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Вождение и автомобили(ресурсы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4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Досуг и развлечения(ресурсы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 имеющая отношения к образовательному процессу информация: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фотоальбомы и фотоконкурсы;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рейтинги открыток, гороскопов, сонников;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гадания, магия и астрология;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ТВ-программы;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прогнозы погоды;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тесты, конкурсы онлайн;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туризм, путешествия;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тосты, поздравления;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кроссворды, сканворды, ответы к ним;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фантастика;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кулинария, рецепты, диеты;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мода, одежда, обувь, модные аксессуары, показы мод;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тексты песен, кино, киноактеры, расписания концертов, спектаклей, кинофильмов, заказ билетов в театры, кино и т. п.;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 дачах, участках, огородах, садах, цветоводстве, животных, питомцах, уходе за ними;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 службах знакомств, размещении объявлений онлайн;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анекдоты, «приколы», слухи;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 сайтах и журналах для женщин и для мужчин;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желтая пресса, онлайн-ТВ, онлайн-радио;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 знаменитостях;</w:t>
            </w:r>
          </w:p>
          <w:p>
            <w:pPr>
              <w:pStyle w:val="style0"/>
              <w:numPr>
                <w:ilvl w:val="0"/>
                <w:numId w:val="2"/>
              </w:numPr>
              <w:spacing w:after="0" w:before="0" w:line="100" w:lineRule="atLeast"/>
              <w:ind w:hanging="360" w:left="360" w:right="0"/>
              <w:contextualSpacing w:val="false"/>
              <w:textAlignment w:val="baselin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 косметике, парфюмерии, прическах, ювелирных украшениях.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5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Здоровье и медицина(ресурсы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 п.)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6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Компьютерные игры(ресурсы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 имеющие отношения к образовательному процессу компьютерные онлайновые и оффлайновые игры, советы для игроков и ключи для прохождения игр, игровые форумы и чаты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7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Корпоративные сайты, интернет-представительства негосударственных учреждений(ресурсы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8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Личная и немодерируемая информация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Немодерируемые форумы, доски объявлений и конференции, гостевые книги, базы данных, содержащие личную информацию (адреса, телефоны и т. п.), личные странички, дневники, блоги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9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Отправка SMS с использованием интернет-ресурсов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предлагающие услуги по отправке SMS-сообщений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10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Модерируемые доски объявлений(ресурсы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Содержащие информацию, не имеющую отношения к образовательному процессу, модерируемые доски сообщений/объявлений, а также модерируемые чаты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11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Нелегальная помощь школьникам и студентам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Банки готовых рефератов, эссе, дипломных работ и пр.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12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Неприличный и грубый юмор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Неэтичные анекдоты и шутки, в частности обыгрывающие особенности физиологии человека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13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Нижнее белье, купальники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на которых рекламируется и изображается нижнее белье и купальники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14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Обеспечение анонимности пользователя, обход контентных фильтров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предлагающие инструкции по обходу прокси и доступу к запрещенным страницам; Peer-to-Peer программы, сервисы бесплатных прокси-серверов, сервисы, дающие пользователю анонимность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15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Онлайн-казино и тотализаторы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Электронные казино, тотализаторы, игры на деньги, конкурсы и пр.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16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Платные сайты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на которых вывешено объявление о платности посещения веб-страниц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17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Поиск работы, резюме, вакансии(ресурсы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Содержащие информацию, не имеющую отношения к образовательному процессу, интернет-представительства кадровых агентств, банки вакансий и резюме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18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Поисковые системы(ресурсы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Содержащие информацию, не имеющую отношения к образовательному процессу, интернет-каталоги, системы поиска и навигации в Интернете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19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Религии и атеизм(ресурсы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20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Системы поиска изображений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21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СМИ(ресурсы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22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Табак, реклама табака, пропаганда потребления табака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пропагандирующие потребление табака; реклама табака и изделий из него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23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Убийства, насилие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Сайты, содержащие описание или изображение убийств, мертвых тел, насилия и т. п.</w:t>
            </w:r>
          </w:p>
        </w:tc>
      </w:tr>
      <w:tr>
        <w:trPr>
          <w:cantSplit w:val="false"/>
        </w:trPr>
        <w:tc>
          <w:tcPr>
            <w:tcW w:type="dxa" w:w="768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24</w:t>
            </w:r>
          </w:p>
        </w:tc>
        <w:tc>
          <w:tcPr>
            <w:tcW w:type="dxa" w:w="2759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type="dxa" w:w="5477"/>
            <w:tcBorders>
              <w:top w:color="DDDDDD" w:space="0" w:sz="6" w:val="single"/>
              <w:left w:val="nil"/>
              <w:bottom w:val="nil"/>
              <w:right w:val="nil"/>
            </w:tcBorders>
            <w:shd w:fill="auto" w:val="clear"/>
            <w:vAlign w:val="bottom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inherit" w:cs="Times New Roman" w:eastAsia="Times New Roman" w:hAnsi="inherit"/>
                <w:sz w:val="21"/>
                <w:szCs w:val="21"/>
              </w:rPr>
            </w:pPr>
            <w:r>
              <w:rPr>
                <w:rFonts w:ascii="inherit" w:cs="Times New Roman" w:eastAsia="Times New Roman" w:hAnsi="inherit"/>
                <w:sz w:val="21"/>
                <w:szCs w:val="21"/>
              </w:rPr>
              <w:t>Не имеющие отношения к образовательному процессу сайты для анонимного общения в режиме онлайн.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inherit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</w:rPr>
  </w:style>
  <w:style w:styleId="style17" w:type="character">
    <w:name w:val="Выделение жирным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Текст выноски Знак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sz w:val="20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2015-04-28T09:02:00Z</dcterms:created>
  <dc:creator>Медведева</dc:creator>
  <cp:lastModifiedBy>User</cp:lastModifiedBy>
  <dcterms:modified xsi:type="dcterms:W3CDTF">2015-04-28T11:25:00Z</dcterms:modified>
  <cp:revision>4</cp:revision>
</cp:coreProperties>
</file>